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602B" w14:textId="77777777" w:rsidR="00077C48" w:rsidRPr="00AC7797" w:rsidRDefault="00077C48" w:rsidP="00CA29D2">
      <w:pPr>
        <w:rPr>
          <w:b/>
          <w:color w:val="FFFFFF"/>
        </w:rPr>
      </w:pPr>
    </w:p>
    <w:p w14:paraId="211A02DA" w14:textId="77777777" w:rsidR="00907E4E" w:rsidRPr="008677D0" w:rsidRDefault="008677D0" w:rsidP="00CA29D2">
      <w:pPr>
        <w:rPr>
          <w:color w:val="FFFFFF"/>
        </w:rPr>
      </w:pPr>
      <w:r w:rsidRPr="008677D0">
        <w:rPr>
          <w:color w:val="FFFFFF"/>
        </w:rPr>
        <w:t>.</w:t>
      </w:r>
    </w:p>
    <w:p w14:paraId="7DEC25A1" w14:textId="22DE4BC5" w:rsidR="00BB7EFD" w:rsidRPr="00A85FE6" w:rsidRDefault="00C849ED" w:rsidP="00F44966">
      <w:pPr>
        <w:jc w:val="center"/>
        <w:rPr>
          <w:b/>
          <w:sz w:val="24"/>
        </w:rPr>
      </w:pPr>
      <w:bookmarkStart w:id="0" w:name="Start_her"/>
      <w:bookmarkEnd w:id="0"/>
      <w:r w:rsidRPr="00552EFB">
        <w:rPr>
          <w:b/>
          <w:sz w:val="24"/>
        </w:rPr>
        <w:t>Kvalitetsstandard</w:t>
      </w:r>
      <w:r w:rsidR="00D10E9C">
        <w:rPr>
          <w:b/>
          <w:sz w:val="24"/>
        </w:rPr>
        <w:t xml:space="preserve"> F</w:t>
      </w:r>
      <w:r w:rsidR="00BB7EFD" w:rsidRPr="00A85FE6">
        <w:rPr>
          <w:b/>
          <w:sz w:val="24"/>
        </w:rPr>
        <w:t>orebyggende hjemmebesøg</w:t>
      </w:r>
      <w:r w:rsidR="00CE344F">
        <w:rPr>
          <w:b/>
          <w:sz w:val="24"/>
        </w:rPr>
        <w:t>, 2023-24</w:t>
      </w:r>
      <w:r w:rsidR="003E7F23" w:rsidRPr="00A85FE6">
        <w:rPr>
          <w:b/>
          <w:sz w:val="24"/>
        </w:rPr>
        <w:tab/>
      </w:r>
    </w:p>
    <w:p w14:paraId="676C99C8" w14:textId="77777777" w:rsidR="00BB7EFD" w:rsidRPr="00A85FE6" w:rsidRDefault="00BB7EFD" w:rsidP="00F44966">
      <w:pPr>
        <w:jc w:val="both"/>
        <w:rPr>
          <w:rFonts w:cs="Arial"/>
          <w:b/>
          <w:szCs w:val="20"/>
        </w:rPr>
      </w:pPr>
    </w:p>
    <w:tbl>
      <w:tblPr>
        <w:tblW w:w="9778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85FE6" w:rsidRPr="00A85FE6" w14:paraId="60799BD8" w14:textId="77777777" w:rsidTr="00F44966">
        <w:trPr>
          <w:jc w:val="right"/>
        </w:trPr>
        <w:tc>
          <w:tcPr>
            <w:tcW w:w="3189" w:type="dxa"/>
          </w:tcPr>
          <w:p w14:paraId="5B0304BE" w14:textId="77777777" w:rsidR="001A2F90" w:rsidRDefault="001A2F90" w:rsidP="001A2F90">
            <w:pPr>
              <w:ind w:left="720"/>
              <w:rPr>
                <w:rFonts w:cs="Arial"/>
                <w:szCs w:val="20"/>
              </w:rPr>
            </w:pPr>
          </w:p>
          <w:p w14:paraId="4C547714" w14:textId="1C6B4A03" w:rsidR="00BB7EFD" w:rsidRPr="00A85FE6" w:rsidRDefault="00BB7EFD" w:rsidP="00BB7EFD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A85FE6">
              <w:rPr>
                <w:rFonts w:cs="Arial"/>
                <w:szCs w:val="20"/>
              </w:rPr>
              <w:t>Hvad er ydelsens lov</w:t>
            </w:r>
            <w:r w:rsidRPr="00A85FE6">
              <w:rPr>
                <w:rFonts w:cs="Arial"/>
                <w:szCs w:val="20"/>
              </w:rPr>
              <w:softHyphen/>
              <w:t>grund</w:t>
            </w:r>
            <w:r w:rsidRPr="00A85FE6">
              <w:rPr>
                <w:rFonts w:cs="Arial"/>
                <w:szCs w:val="20"/>
              </w:rPr>
              <w:softHyphen/>
              <w:t>lag?</w:t>
            </w:r>
          </w:p>
        </w:tc>
        <w:tc>
          <w:tcPr>
            <w:tcW w:w="6589" w:type="dxa"/>
          </w:tcPr>
          <w:p w14:paraId="49B13B4C" w14:textId="77777777" w:rsidR="0098247B" w:rsidRDefault="0098247B" w:rsidP="001A2F90">
            <w:pPr>
              <w:rPr>
                <w:rFonts w:cs="Arial"/>
                <w:szCs w:val="20"/>
              </w:rPr>
            </w:pPr>
          </w:p>
          <w:p w14:paraId="4FFE1F8A" w14:textId="450D86A7" w:rsidR="001A2F90" w:rsidRDefault="001A2F90" w:rsidP="001A2F9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Servicelovens § </w:t>
            </w:r>
            <w:proofErr w:type="gramStart"/>
            <w:r>
              <w:rPr>
                <w:rFonts w:cs="Arial"/>
                <w:szCs w:val="20"/>
              </w:rPr>
              <w:t>79,a</w:t>
            </w:r>
            <w:proofErr w:type="gramEnd"/>
          </w:p>
          <w:p w14:paraId="7DC21964" w14:textId="77777777" w:rsidR="001A2F90" w:rsidRDefault="001A2F90" w:rsidP="001A2F90">
            <w:pPr>
              <w:rPr>
                <w:rFonts w:cs="Arial"/>
                <w:szCs w:val="20"/>
              </w:rPr>
            </w:pPr>
          </w:p>
          <w:p w14:paraId="5F6929E8" w14:textId="48AC8E46" w:rsidR="001A2F90" w:rsidRPr="00A85FE6" w:rsidRDefault="001A2F90" w:rsidP="001A2F90">
            <w:pPr>
              <w:rPr>
                <w:rFonts w:cs="Arial"/>
                <w:szCs w:val="20"/>
              </w:rPr>
            </w:pPr>
          </w:p>
        </w:tc>
      </w:tr>
      <w:tr w:rsidR="00A85FE6" w:rsidRPr="00A85FE6" w14:paraId="19F53E3B" w14:textId="77777777" w:rsidTr="00F44966">
        <w:trPr>
          <w:jc w:val="right"/>
        </w:trPr>
        <w:tc>
          <w:tcPr>
            <w:tcW w:w="3189" w:type="dxa"/>
          </w:tcPr>
          <w:p w14:paraId="4631B781" w14:textId="77777777" w:rsidR="001A2F90" w:rsidRDefault="001A2F90" w:rsidP="001A2F90">
            <w:pPr>
              <w:ind w:left="720"/>
              <w:rPr>
                <w:rFonts w:cs="Arial"/>
                <w:szCs w:val="20"/>
              </w:rPr>
            </w:pPr>
          </w:p>
          <w:p w14:paraId="5905AC28" w14:textId="2D0F7CC1" w:rsidR="00BB7EFD" w:rsidRPr="00A85FE6" w:rsidRDefault="00BB7EFD" w:rsidP="00BB7EFD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A85FE6">
              <w:rPr>
                <w:rFonts w:cs="Arial"/>
                <w:szCs w:val="20"/>
              </w:rPr>
              <w:t>Hvad er formålet med ydel</w:t>
            </w:r>
            <w:r w:rsidRPr="00A85FE6">
              <w:rPr>
                <w:rFonts w:cs="Arial"/>
                <w:szCs w:val="20"/>
              </w:rPr>
              <w:softHyphen/>
              <w:t>sen?</w:t>
            </w:r>
          </w:p>
          <w:p w14:paraId="2DFF73C7" w14:textId="3CC2F9A2" w:rsidR="00603B0A" w:rsidRPr="00A85FE6" w:rsidRDefault="00603B0A" w:rsidP="00603B0A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14E7860D" w14:textId="77777777" w:rsidR="001A2F90" w:rsidRDefault="001A2F90" w:rsidP="00BB7EFD">
            <w:pPr>
              <w:rPr>
                <w:rFonts w:cs="Arial"/>
                <w:szCs w:val="20"/>
              </w:rPr>
            </w:pPr>
          </w:p>
          <w:p w14:paraId="66C58596" w14:textId="53AE6722" w:rsidR="001A2F90" w:rsidRDefault="00BB7EFD" w:rsidP="00BB7EFD">
            <w:pPr>
              <w:rPr>
                <w:rFonts w:cs="Arial"/>
                <w:szCs w:val="20"/>
              </w:rPr>
            </w:pPr>
            <w:r w:rsidRPr="00A85FE6">
              <w:rPr>
                <w:rFonts w:cs="Arial"/>
                <w:szCs w:val="20"/>
              </w:rPr>
              <w:t xml:space="preserve">At </w:t>
            </w:r>
            <w:r w:rsidR="001A2F90">
              <w:rPr>
                <w:rFonts w:cs="Arial"/>
                <w:szCs w:val="20"/>
              </w:rPr>
              <w:t>borgeren kan leve et så sundt og selvhjulpent liv som muligt</w:t>
            </w:r>
            <w:r w:rsidR="00F829C5">
              <w:rPr>
                <w:rFonts w:cs="Arial"/>
                <w:szCs w:val="20"/>
              </w:rPr>
              <w:t xml:space="preserve"> </w:t>
            </w:r>
          </w:p>
          <w:p w14:paraId="77F1F9EA" w14:textId="77777777" w:rsidR="001A2F90" w:rsidRDefault="001A2F90" w:rsidP="00BB7EFD">
            <w:pPr>
              <w:rPr>
                <w:rFonts w:cs="Arial"/>
                <w:szCs w:val="20"/>
              </w:rPr>
            </w:pPr>
          </w:p>
          <w:p w14:paraId="0FD92F38" w14:textId="77777777" w:rsidR="00BB7EFD" w:rsidRPr="00A85FE6" w:rsidRDefault="00BB7EFD" w:rsidP="00F829C5">
            <w:pPr>
              <w:ind w:left="720"/>
              <w:rPr>
                <w:rFonts w:cs="Arial"/>
                <w:szCs w:val="20"/>
              </w:rPr>
            </w:pPr>
          </w:p>
        </w:tc>
      </w:tr>
      <w:tr w:rsidR="00A85FE6" w:rsidRPr="00A85FE6" w14:paraId="04A73EC3" w14:textId="77777777" w:rsidTr="00F44966">
        <w:trPr>
          <w:jc w:val="right"/>
        </w:trPr>
        <w:tc>
          <w:tcPr>
            <w:tcW w:w="3189" w:type="dxa"/>
          </w:tcPr>
          <w:p w14:paraId="26300F78" w14:textId="77777777" w:rsidR="00F829C5" w:rsidRDefault="00F829C5" w:rsidP="00F829C5">
            <w:pPr>
              <w:ind w:left="720"/>
              <w:rPr>
                <w:rFonts w:cs="Arial"/>
                <w:szCs w:val="20"/>
              </w:rPr>
            </w:pPr>
          </w:p>
          <w:p w14:paraId="24C7E45F" w14:textId="15097090" w:rsidR="00BB7EFD" w:rsidRPr="00A85FE6" w:rsidRDefault="00BB7EFD" w:rsidP="00BB7EFD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A85FE6">
              <w:rPr>
                <w:rFonts w:cs="Arial"/>
                <w:szCs w:val="20"/>
              </w:rPr>
              <w:t>Hvilke aktiviteter indgår i ydel</w:t>
            </w:r>
            <w:r w:rsidRPr="00A85FE6">
              <w:rPr>
                <w:rFonts w:cs="Arial"/>
                <w:szCs w:val="20"/>
              </w:rPr>
              <w:softHyphen/>
              <w:t>sen?</w:t>
            </w:r>
          </w:p>
          <w:p w14:paraId="70610A76" w14:textId="1EEF8FEC" w:rsidR="00603B0A" w:rsidRPr="00A85FE6" w:rsidRDefault="00603B0A" w:rsidP="00603B0A">
            <w:pPr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24ED654E" w14:textId="77777777" w:rsidR="003045C4" w:rsidRDefault="00F829C5" w:rsidP="00F829C5">
            <w:pPr>
              <w:pStyle w:val="NormalWeb"/>
              <w:spacing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06A">
              <w:rPr>
                <w:rFonts w:ascii="Arial" w:hAnsi="Arial" w:cs="Arial"/>
                <w:b/>
                <w:bCs/>
                <w:sz w:val="20"/>
                <w:szCs w:val="20"/>
              </w:rPr>
              <w:t>Aldersbestemte forebyggende hjemmebesøg</w:t>
            </w:r>
          </w:p>
          <w:p w14:paraId="17433B6A" w14:textId="13E3CAF2" w:rsidR="00F829C5" w:rsidRPr="003045C4" w:rsidRDefault="00CE344F" w:rsidP="00F829C5">
            <w:pPr>
              <w:pStyle w:val="NormalWeb"/>
              <w:spacing w:after="24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10E9C">
              <w:rPr>
                <w:rFonts w:ascii="Arial" w:hAnsi="Arial" w:cs="Arial"/>
                <w:sz w:val="20"/>
                <w:szCs w:val="20"/>
              </w:rPr>
              <w:t>lle</w:t>
            </w:r>
            <w:r w:rsidR="00F829C5">
              <w:rPr>
                <w:rFonts w:ascii="Arial" w:hAnsi="Arial" w:cs="Arial"/>
                <w:sz w:val="20"/>
                <w:szCs w:val="20"/>
              </w:rPr>
              <w:t xml:space="preserve"> borgere </w:t>
            </w:r>
            <w:r>
              <w:rPr>
                <w:rFonts w:ascii="Arial" w:hAnsi="Arial" w:cs="Arial"/>
                <w:sz w:val="20"/>
                <w:szCs w:val="20"/>
              </w:rPr>
              <w:t xml:space="preserve">bliver i </w:t>
            </w:r>
            <w:r w:rsidR="00F829C5">
              <w:rPr>
                <w:rFonts w:ascii="Arial" w:hAnsi="Arial" w:cs="Arial"/>
                <w:sz w:val="20"/>
                <w:szCs w:val="20"/>
              </w:rPr>
              <w:t>deres fyldte 80 år</w:t>
            </w:r>
            <w:r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9F2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9C5">
              <w:rPr>
                <w:rFonts w:ascii="Arial" w:hAnsi="Arial" w:cs="Arial"/>
                <w:sz w:val="20"/>
                <w:szCs w:val="20"/>
              </w:rPr>
              <w:t xml:space="preserve">82 år og herefter hvert år </w:t>
            </w:r>
            <w:r>
              <w:rPr>
                <w:rFonts w:ascii="Arial" w:hAnsi="Arial" w:cs="Arial"/>
                <w:sz w:val="20"/>
                <w:szCs w:val="20"/>
              </w:rPr>
              <w:t>i tilbudt et</w:t>
            </w:r>
            <w:r w:rsidR="00F829C5">
              <w:rPr>
                <w:rFonts w:ascii="Arial" w:hAnsi="Arial" w:cs="Arial"/>
                <w:sz w:val="20"/>
                <w:szCs w:val="20"/>
              </w:rPr>
              <w:t xml:space="preserve"> forebyggende hjemmebesøg</w:t>
            </w:r>
            <w:r w:rsidR="0096556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2B534" w14:textId="3CE564DC" w:rsidR="00F829C5" w:rsidRPr="009F206A" w:rsidRDefault="009F206A" w:rsidP="00F829C5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9F206A">
              <w:rPr>
                <w:rFonts w:ascii="Arial" w:hAnsi="Arial" w:cs="Arial"/>
                <w:sz w:val="20"/>
                <w:szCs w:val="20"/>
              </w:rPr>
              <w:t>Besøget er en struktureret samtale</w:t>
            </w:r>
            <w:r>
              <w:rPr>
                <w:rFonts w:ascii="Arial" w:hAnsi="Arial" w:cs="Arial"/>
                <w:sz w:val="20"/>
                <w:szCs w:val="20"/>
              </w:rPr>
              <w:t xml:space="preserve">, hvor </w:t>
            </w:r>
            <w:r w:rsidR="00CE344F">
              <w:rPr>
                <w:rFonts w:ascii="Arial" w:hAnsi="Arial" w:cs="Arial"/>
                <w:sz w:val="20"/>
                <w:szCs w:val="20"/>
              </w:rPr>
              <w:t xml:space="preserve">indholdet er </w:t>
            </w:r>
            <w:r>
              <w:rPr>
                <w:rFonts w:ascii="Arial" w:hAnsi="Arial" w:cs="Arial"/>
                <w:sz w:val="20"/>
                <w:szCs w:val="20"/>
              </w:rPr>
              <w:t>rådgiv</w:t>
            </w:r>
            <w:r w:rsidR="00CE344F">
              <w:rPr>
                <w:rFonts w:ascii="Arial" w:hAnsi="Arial" w:cs="Arial"/>
                <w:sz w:val="20"/>
                <w:szCs w:val="20"/>
              </w:rPr>
              <w:t>ning</w:t>
            </w:r>
            <w:r>
              <w:rPr>
                <w:rFonts w:ascii="Arial" w:hAnsi="Arial" w:cs="Arial"/>
                <w:sz w:val="20"/>
                <w:szCs w:val="20"/>
              </w:rPr>
              <w:t xml:space="preserve"> om </w:t>
            </w:r>
            <w:r w:rsidRPr="009F206A">
              <w:rPr>
                <w:rFonts w:ascii="Arial" w:hAnsi="Arial" w:cs="Arial"/>
                <w:sz w:val="20"/>
                <w:szCs w:val="20"/>
              </w:rPr>
              <w:t>forebyggelse og sundhedsfremme</w:t>
            </w:r>
            <w:r w:rsidR="00965560">
              <w:rPr>
                <w:rFonts w:ascii="Arial" w:hAnsi="Arial" w:cs="Arial"/>
                <w:sz w:val="20"/>
                <w:szCs w:val="20"/>
              </w:rPr>
              <w:t xml:space="preserve"> i forhold til relevante temaer</w:t>
            </w:r>
            <w:r w:rsidRPr="009F206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vejled</w:t>
            </w:r>
            <w:r w:rsidR="00CE344F">
              <w:rPr>
                <w:rFonts w:ascii="Arial" w:hAnsi="Arial" w:cs="Arial"/>
                <w:sz w:val="20"/>
                <w:szCs w:val="20"/>
              </w:rPr>
              <w:t>ning</w:t>
            </w:r>
            <w:r w:rsidRPr="009F206A">
              <w:rPr>
                <w:rFonts w:ascii="Arial" w:hAnsi="Arial" w:cs="Arial"/>
                <w:sz w:val="20"/>
                <w:szCs w:val="20"/>
              </w:rPr>
              <w:t xml:space="preserve"> om kommunens</w:t>
            </w:r>
            <w:r>
              <w:rPr>
                <w:rFonts w:ascii="Arial" w:hAnsi="Arial" w:cs="Arial"/>
                <w:sz w:val="20"/>
                <w:szCs w:val="20"/>
              </w:rPr>
              <w:t xml:space="preserve"> og de </w:t>
            </w:r>
            <w:r w:rsidRPr="009F206A">
              <w:rPr>
                <w:rFonts w:ascii="Arial" w:hAnsi="Arial" w:cs="Arial"/>
                <w:sz w:val="20"/>
                <w:szCs w:val="20"/>
              </w:rPr>
              <w:t>frivillige organisationers aktiviteter og støttemulighede</w:t>
            </w:r>
            <w:r w:rsidR="00965560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og i nogle tilfælde</w:t>
            </w:r>
            <w:r w:rsidR="00965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44F">
              <w:rPr>
                <w:rFonts w:ascii="Arial" w:hAnsi="Arial" w:cs="Arial"/>
                <w:sz w:val="20"/>
                <w:szCs w:val="20"/>
              </w:rPr>
              <w:t>bistand</w:t>
            </w:r>
            <w:r w:rsidR="00965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06A">
              <w:rPr>
                <w:rFonts w:ascii="Arial" w:hAnsi="Arial" w:cs="Arial"/>
                <w:sz w:val="20"/>
                <w:szCs w:val="20"/>
              </w:rPr>
              <w:t>til at skabe kontakt til myndigheder</w:t>
            </w:r>
            <w:r w:rsidR="00CE344F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9F206A">
              <w:rPr>
                <w:rFonts w:ascii="Arial" w:hAnsi="Arial" w:cs="Arial"/>
                <w:sz w:val="20"/>
                <w:szCs w:val="20"/>
              </w:rPr>
              <w:t xml:space="preserve"> organisationer</w:t>
            </w:r>
          </w:p>
          <w:p w14:paraId="1DB0A6B7" w14:textId="77777777" w:rsidR="00BB7EFD" w:rsidRDefault="00BB7EFD" w:rsidP="00BB7EFD">
            <w:pPr>
              <w:rPr>
                <w:rFonts w:cs="Arial"/>
                <w:szCs w:val="20"/>
              </w:rPr>
            </w:pPr>
          </w:p>
          <w:p w14:paraId="1C2E1301" w14:textId="255CC99C" w:rsidR="00965560" w:rsidRDefault="00965560" w:rsidP="00BB7EFD">
            <w:pPr>
              <w:rPr>
                <w:rFonts w:cs="Arial"/>
                <w:b/>
                <w:bCs/>
                <w:szCs w:val="20"/>
              </w:rPr>
            </w:pPr>
            <w:r w:rsidRPr="00965560">
              <w:rPr>
                <w:rFonts w:cs="Arial"/>
                <w:b/>
                <w:bCs/>
                <w:szCs w:val="20"/>
              </w:rPr>
              <w:t xml:space="preserve">Aldersbestemte </w:t>
            </w:r>
            <w:r w:rsidR="00CE344F">
              <w:rPr>
                <w:rFonts w:cs="Arial"/>
                <w:b/>
                <w:bCs/>
                <w:szCs w:val="20"/>
              </w:rPr>
              <w:t>kollektive indsatser</w:t>
            </w:r>
          </w:p>
          <w:p w14:paraId="32865502" w14:textId="77777777" w:rsidR="003045C4" w:rsidRDefault="003045C4" w:rsidP="00BB7EFD">
            <w:pPr>
              <w:rPr>
                <w:rFonts w:cs="Arial"/>
                <w:szCs w:val="20"/>
              </w:rPr>
            </w:pPr>
          </w:p>
          <w:p w14:paraId="28056C7F" w14:textId="11DEE0D2" w:rsidR="00965560" w:rsidRDefault="00CE344F" w:rsidP="00BB7E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965560">
              <w:rPr>
                <w:rFonts w:cs="Arial"/>
                <w:szCs w:val="20"/>
              </w:rPr>
              <w:t xml:space="preserve">lle 70-årige der bor alene og alle 75-årige </w:t>
            </w:r>
            <w:r>
              <w:rPr>
                <w:rFonts w:cs="Arial"/>
                <w:szCs w:val="20"/>
              </w:rPr>
              <w:t xml:space="preserve">bliver inviteret </w:t>
            </w:r>
            <w:r w:rsidR="00965560">
              <w:rPr>
                <w:rFonts w:cs="Arial"/>
                <w:szCs w:val="20"/>
              </w:rPr>
              <w:t xml:space="preserve">til </w:t>
            </w:r>
            <w:r w:rsidR="00AC77F0"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</w:rPr>
              <w:t>ollektiv</w:t>
            </w:r>
            <w:r w:rsidR="003045C4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</w:t>
            </w:r>
            <w:r w:rsidR="003045C4">
              <w:rPr>
                <w:rFonts w:cs="Arial"/>
                <w:szCs w:val="20"/>
              </w:rPr>
              <w:t>indsatser</w:t>
            </w:r>
            <w:r w:rsidR="00965560">
              <w:rPr>
                <w:rFonts w:cs="Arial"/>
                <w:szCs w:val="20"/>
              </w:rPr>
              <w:t xml:space="preserve"> med mulighed for at </w:t>
            </w:r>
            <w:r>
              <w:rPr>
                <w:rFonts w:cs="Arial"/>
                <w:szCs w:val="20"/>
              </w:rPr>
              <w:t>modtage</w:t>
            </w:r>
            <w:r w:rsidR="00965560">
              <w:rPr>
                <w:rFonts w:cs="Arial"/>
                <w:szCs w:val="20"/>
              </w:rPr>
              <w:t xml:space="preserve"> rådgivning om forebyggelse og sundhedsfremme</w:t>
            </w:r>
            <w:r>
              <w:rPr>
                <w:rFonts w:cs="Arial"/>
                <w:szCs w:val="20"/>
              </w:rPr>
              <w:t xml:space="preserve"> og</w:t>
            </w:r>
            <w:r w:rsidR="0096556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blive præsenteret for</w:t>
            </w:r>
            <w:r w:rsidR="00965560">
              <w:rPr>
                <w:rFonts w:cs="Arial"/>
                <w:szCs w:val="20"/>
              </w:rPr>
              <w:t xml:space="preserve"> kommunens og de frivillige aktiviteter og indsatser. Den enkelte borger kan </w:t>
            </w:r>
            <w:r w:rsidR="00F34312">
              <w:rPr>
                <w:rFonts w:cs="Arial"/>
                <w:szCs w:val="20"/>
              </w:rPr>
              <w:t xml:space="preserve">samtidig </w:t>
            </w:r>
            <w:r w:rsidR="00965560">
              <w:rPr>
                <w:rFonts w:cs="Arial"/>
                <w:szCs w:val="20"/>
              </w:rPr>
              <w:t xml:space="preserve">anmode om et </w:t>
            </w:r>
            <w:r>
              <w:rPr>
                <w:rFonts w:cs="Arial"/>
                <w:szCs w:val="20"/>
              </w:rPr>
              <w:t xml:space="preserve">forebyggende </w:t>
            </w:r>
            <w:r w:rsidR="00965560">
              <w:rPr>
                <w:rFonts w:cs="Arial"/>
                <w:szCs w:val="20"/>
              </w:rPr>
              <w:t>hjemmebesøg.</w:t>
            </w:r>
          </w:p>
          <w:p w14:paraId="2DD0BDB2" w14:textId="77777777" w:rsidR="00965560" w:rsidRDefault="00965560" w:rsidP="00BB7EFD">
            <w:pPr>
              <w:rPr>
                <w:rFonts w:cs="Arial"/>
                <w:szCs w:val="20"/>
              </w:rPr>
            </w:pPr>
          </w:p>
          <w:p w14:paraId="6988EAAD" w14:textId="77777777" w:rsidR="00965560" w:rsidRPr="00A85FE6" w:rsidRDefault="00965560" w:rsidP="00BB7EFD">
            <w:pPr>
              <w:rPr>
                <w:rFonts w:cs="Arial"/>
                <w:szCs w:val="20"/>
              </w:rPr>
            </w:pPr>
          </w:p>
          <w:p w14:paraId="4150CFE9" w14:textId="77777777" w:rsidR="00965560" w:rsidRPr="00965560" w:rsidRDefault="00965560" w:rsidP="00BB7EFD">
            <w:pPr>
              <w:rPr>
                <w:rFonts w:cs="Arial"/>
                <w:b/>
                <w:bCs/>
                <w:szCs w:val="20"/>
              </w:rPr>
            </w:pPr>
            <w:r w:rsidRPr="00965560">
              <w:rPr>
                <w:rFonts w:cs="Arial"/>
                <w:b/>
                <w:bCs/>
                <w:szCs w:val="20"/>
              </w:rPr>
              <w:t>Behovsbestemt forebyggende hjemmebesøg</w:t>
            </w:r>
          </w:p>
          <w:p w14:paraId="21774903" w14:textId="77777777" w:rsidR="003045C4" w:rsidRDefault="003045C4" w:rsidP="003045C4">
            <w:pPr>
              <w:rPr>
                <w:rFonts w:cs="Arial"/>
                <w:szCs w:val="20"/>
              </w:rPr>
            </w:pPr>
          </w:p>
          <w:p w14:paraId="7ADB9D91" w14:textId="6677EACB" w:rsidR="000C488E" w:rsidRPr="003045C4" w:rsidRDefault="00965560" w:rsidP="003045C4">
            <w:pPr>
              <w:rPr>
                <w:rFonts w:cs="Arial"/>
                <w:szCs w:val="20"/>
              </w:rPr>
            </w:pPr>
            <w:r w:rsidRPr="003045C4">
              <w:rPr>
                <w:rFonts w:cs="Arial"/>
                <w:szCs w:val="20"/>
              </w:rPr>
              <w:t>Alle borgere kan efter det fyldt 65 år</w:t>
            </w:r>
            <w:r w:rsidR="00CE344F" w:rsidRPr="003045C4">
              <w:rPr>
                <w:rFonts w:cs="Arial"/>
                <w:szCs w:val="20"/>
              </w:rPr>
              <w:t xml:space="preserve"> modtage et forebyggende hjemmebesøg</w:t>
            </w:r>
            <w:r w:rsidR="00F34312" w:rsidRPr="003045C4">
              <w:rPr>
                <w:rFonts w:cs="Arial"/>
                <w:szCs w:val="20"/>
              </w:rPr>
              <w:t xml:space="preserve">, hvis de er særlig </w:t>
            </w:r>
            <w:r w:rsidR="000C488E" w:rsidRPr="003045C4">
              <w:rPr>
                <w:rFonts w:cs="Arial"/>
                <w:szCs w:val="20"/>
              </w:rPr>
              <w:t>risiko for nedsat social, psykisk eller fysisk funktionsev</w:t>
            </w:r>
            <w:r w:rsidR="00F15E64" w:rsidRPr="003045C4">
              <w:rPr>
                <w:rFonts w:cs="Arial"/>
                <w:szCs w:val="20"/>
              </w:rPr>
              <w:t xml:space="preserve">ne. </w:t>
            </w:r>
            <w:r w:rsidR="000C488E" w:rsidRPr="003045C4">
              <w:rPr>
                <w:rFonts w:cs="Arial"/>
                <w:szCs w:val="20"/>
              </w:rPr>
              <w:t xml:space="preserve">Hjemmebesøget </w:t>
            </w:r>
            <w:r w:rsidR="003045C4" w:rsidRPr="003045C4">
              <w:rPr>
                <w:rFonts w:cs="Arial"/>
                <w:szCs w:val="20"/>
              </w:rPr>
              <w:t xml:space="preserve">kan </w:t>
            </w:r>
            <w:r w:rsidR="00F15E64" w:rsidRPr="003045C4">
              <w:rPr>
                <w:rFonts w:cs="Arial"/>
                <w:szCs w:val="20"/>
              </w:rPr>
              <w:t>tilbydes</w:t>
            </w:r>
            <w:r w:rsidR="000C488E" w:rsidRPr="003045C4">
              <w:rPr>
                <w:rFonts w:cs="Arial"/>
                <w:szCs w:val="20"/>
              </w:rPr>
              <w:t xml:space="preserve"> på baggrund af henvendelse fra borger, familien, naboer, læge, kommunale </w:t>
            </w:r>
            <w:r w:rsidR="00F15E64" w:rsidRPr="003045C4">
              <w:rPr>
                <w:rFonts w:cs="Arial"/>
                <w:szCs w:val="20"/>
              </w:rPr>
              <w:t>samarbejdspartnere</w:t>
            </w:r>
            <w:r w:rsidR="003045C4" w:rsidRPr="003045C4">
              <w:rPr>
                <w:rFonts w:cs="Arial"/>
                <w:szCs w:val="20"/>
              </w:rPr>
              <w:t xml:space="preserve"> eller med afsæt i fokus på særlig udsatte målgrupper</w:t>
            </w:r>
          </w:p>
          <w:p w14:paraId="10B721DF" w14:textId="44DE85A1" w:rsidR="00D10E9C" w:rsidRPr="003045C4" w:rsidRDefault="00D10E9C" w:rsidP="003045C4">
            <w:pPr>
              <w:rPr>
                <w:rFonts w:cs="Arial"/>
                <w:szCs w:val="20"/>
              </w:rPr>
            </w:pPr>
            <w:r w:rsidRPr="003045C4">
              <w:rPr>
                <w:rFonts w:cs="Arial"/>
                <w:szCs w:val="20"/>
              </w:rPr>
              <w:t xml:space="preserve">Besøget tager i et helhedsperspektiv udgangspunkt i den enkelte borgeres </w:t>
            </w:r>
            <w:r w:rsidR="00CE344F" w:rsidRPr="003045C4">
              <w:rPr>
                <w:rFonts w:cs="Arial"/>
                <w:szCs w:val="20"/>
              </w:rPr>
              <w:t>ressourcer og behov</w:t>
            </w:r>
          </w:p>
          <w:p w14:paraId="3A13824E" w14:textId="77777777" w:rsidR="00F34312" w:rsidRDefault="00F34312" w:rsidP="00BB7EFD">
            <w:pPr>
              <w:rPr>
                <w:rFonts w:cs="Arial"/>
                <w:szCs w:val="20"/>
              </w:rPr>
            </w:pPr>
          </w:p>
          <w:p w14:paraId="0A3DC706" w14:textId="77777777" w:rsidR="003045C4" w:rsidRDefault="003045C4" w:rsidP="00BB7EFD">
            <w:pPr>
              <w:rPr>
                <w:rFonts w:cs="Arial"/>
                <w:szCs w:val="20"/>
              </w:rPr>
            </w:pPr>
          </w:p>
          <w:p w14:paraId="6833C2A8" w14:textId="2D417FDF" w:rsidR="00CE344F" w:rsidRPr="00965560" w:rsidRDefault="00CE344F" w:rsidP="00CE344F">
            <w:pPr>
              <w:rPr>
                <w:rFonts w:cs="Arial"/>
                <w:b/>
                <w:bCs/>
                <w:szCs w:val="20"/>
              </w:rPr>
            </w:pPr>
            <w:r w:rsidRPr="00965560">
              <w:rPr>
                <w:rFonts w:cs="Arial"/>
                <w:b/>
                <w:bCs/>
                <w:szCs w:val="20"/>
              </w:rPr>
              <w:t xml:space="preserve">Behovsbestemt forebyggende </w:t>
            </w:r>
            <w:r>
              <w:rPr>
                <w:rFonts w:cs="Arial"/>
                <w:b/>
                <w:bCs/>
                <w:szCs w:val="20"/>
              </w:rPr>
              <w:t>kollektive indsatser</w:t>
            </w:r>
          </w:p>
          <w:p w14:paraId="09D3AF78" w14:textId="77777777" w:rsidR="00CE344F" w:rsidRPr="00F34312" w:rsidRDefault="00CE344F" w:rsidP="00BB7EFD">
            <w:pPr>
              <w:rPr>
                <w:rFonts w:cs="Arial"/>
                <w:szCs w:val="20"/>
              </w:rPr>
            </w:pPr>
          </w:p>
          <w:p w14:paraId="5FCA5C79" w14:textId="091400EF" w:rsidR="003045C4" w:rsidRPr="003045C4" w:rsidRDefault="003045C4" w:rsidP="003045C4">
            <w:pPr>
              <w:rPr>
                <w:rFonts w:cs="Arial"/>
                <w:szCs w:val="20"/>
              </w:rPr>
            </w:pPr>
            <w:r w:rsidRPr="003045C4">
              <w:rPr>
                <w:rFonts w:cs="Arial"/>
                <w:szCs w:val="20"/>
              </w:rPr>
              <w:t xml:space="preserve">Med afsæt i fokus på særlig sårbare/udsatte gruppe, tilbydes kollektive indsatser </w:t>
            </w:r>
          </w:p>
          <w:p w14:paraId="1CF88230" w14:textId="308BA1C7" w:rsidR="00BB7EFD" w:rsidRPr="00F34312" w:rsidRDefault="00BB7EFD" w:rsidP="00F34312">
            <w:pPr>
              <w:rPr>
                <w:rFonts w:cs="Arial"/>
                <w:szCs w:val="20"/>
              </w:rPr>
            </w:pPr>
            <w:r w:rsidRPr="00F34312">
              <w:rPr>
                <w:rFonts w:cs="Arial"/>
                <w:szCs w:val="20"/>
              </w:rPr>
              <w:br/>
            </w:r>
          </w:p>
        </w:tc>
      </w:tr>
      <w:tr w:rsidR="001B6A0C" w:rsidRPr="009960EA" w14:paraId="6A26CC58" w14:textId="77777777" w:rsidTr="00F44966">
        <w:trPr>
          <w:jc w:val="right"/>
        </w:trPr>
        <w:tc>
          <w:tcPr>
            <w:tcW w:w="3189" w:type="dxa"/>
          </w:tcPr>
          <w:p w14:paraId="4576DA43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49D2B99D" w14:textId="77777777" w:rsidR="001B6A0C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>Hvilke aktiviteter indgår ikke i ydelsen?</w:t>
            </w:r>
          </w:p>
          <w:p w14:paraId="1F1F71B8" w14:textId="64810A59" w:rsidR="00F34312" w:rsidRPr="009960EA" w:rsidRDefault="00F34312" w:rsidP="00F34312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6C435457" w14:textId="77777777" w:rsidR="00F34312" w:rsidRDefault="00F34312" w:rsidP="001B6A0C">
            <w:pPr>
              <w:rPr>
                <w:rFonts w:cs="Arial"/>
                <w:szCs w:val="20"/>
              </w:rPr>
            </w:pPr>
          </w:p>
          <w:p w14:paraId="145A6023" w14:textId="56DF9A8E" w:rsidR="001B6A0C" w:rsidRPr="00A44413" w:rsidRDefault="003045C4" w:rsidP="001B6A0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Bevilling af</w:t>
            </w:r>
            <w:r w:rsidR="00F34312">
              <w:rPr>
                <w:rFonts w:cs="Arial"/>
                <w:szCs w:val="20"/>
              </w:rPr>
              <w:t xml:space="preserve"> kommunale </w:t>
            </w:r>
            <w:r w:rsidR="000C488E">
              <w:rPr>
                <w:rFonts w:cs="Arial"/>
                <w:szCs w:val="20"/>
              </w:rPr>
              <w:t>ydelser</w:t>
            </w:r>
          </w:p>
        </w:tc>
      </w:tr>
      <w:tr w:rsidR="001B6A0C" w:rsidRPr="009960EA" w14:paraId="2356B1CB" w14:textId="77777777" w:rsidTr="00F44966">
        <w:trPr>
          <w:jc w:val="right"/>
        </w:trPr>
        <w:tc>
          <w:tcPr>
            <w:tcW w:w="3189" w:type="dxa"/>
          </w:tcPr>
          <w:p w14:paraId="5EF47A2E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74E61C18" w14:textId="0954B35C" w:rsidR="001B6A0C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 xml:space="preserve">Hvem kan </w:t>
            </w:r>
            <w:r w:rsidR="00F34312">
              <w:rPr>
                <w:rFonts w:cs="Arial"/>
                <w:szCs w:val="20"/>
              </w:rPr>
              <w:t xml:space="preserve">ikke </w:t>
            </w:r>
            <w:r w:rsidRPr="009960EA">
              <w:rPr>
                <w:rFonts w:cs="Arial"/>
                <w:szCs w:val="20"/>
              </w:rPr>
              <w:t>modtage ydel</w:t>
            </w:r>
            <w:r w:rsidRPr="009960EA">
              <w:rPr>
                <w:rFonts w:cs="Arial"/>
                <w:szCs w:val="20"/>
              </w:rPr>
              <w:softHyphen/>
              <w:t>sen?</w:t>
            </w:r>
          </w:p>
          <w:p w14:paraId="6D7A3D8F" w14:textId="41907C11" w:rsidR="00F34312" w:rsidRPr="009960EA" w:rsidRDefault="00F34312" w:rsidP="00F34312">
            <w:pPr>
              <w:ind w:left="72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74C0B342" w14:textId="77777777" w:rsidR="00F34312" w:rsidRDefault="00F34312" w:rsidP="001B6A0C">
            <w:pPr>
              <w:rPr>
                <w:rFonts w:cs="Arial"/>
                <w:szCs w:val="20"/>
              </w:rPr>
            </w:pPr>
          </w:p>
          <w:p w14:paraId="748ABD8B" w14:textId="75FF6728" w:rsidR="001B6A0C" w:rsidRDefault="00F34312" w:rsidP="001B6A0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Borgere der modtager</w:t>
            </w:r>
            <w:r w:rsidR="001B6A0C" w:rsidRPr="00A44413">
              <w:rPr>
                <w:rFonts w:cs="Arial"/>
                <w:szCs w:val="20"/>
              </w:rPr>
              <w:t xml:space="preserve"> personlig </w:t>
            </w:r>
            <w:r w:rsidR="001B6A0C">
              <w:rPr>
                <w:rFonts w:cs="Arial"/>
                <w:szCs w:val="20"/>
              </w:rPr>
              <w:t>pleje</w:t>
            </w:r>
            <w:r>
              <w:rPr>
                <w:rFonts w:cs="Arial"/>
                <w:szCs w:val="20"/>
              </w:rPr>
              <w:t xml:space="preserve"> kan ikke modtage forebyggende hjemmebesøg</w:t>
            </w:r>
            <w:r w:rsidR="001B6A0C">
              <w:rPr>
                <w:rFonts w:cs="Arial"/>
                <w:szCs w:val="20"/>
              </w:rPr>
              <w:t xml:space="preserve">. </w:t>
            </w:r>
          </w:p>
          <w:p w14:paraId="56D4232F" w14:textId="10D23520" w:rsidR="001B6A0C" w:rsidRPr="00936B3A" w:rsidRDefault="001B6A0C" w:rsidP="001B6A0C">
            <w:pPr>
              <w:rPr>
                <w:rFonts w:cs="Arial"/>
                <w:color w:val="FF0000"/>
                <w:szCs w:val="20"/>
              </w:rPr>
            </w:pPr>
          </w:p>
        </w:tc>
      </w:tr>
      <w:tr w:rsidR="001B6A0C" w:rsidRPr="009960EA" w14:paraId="26BA7565" w14:textId="77777777" w:rsidTr="00F44966">
        <w:trPr>
          <w:jc w:val="right"/>
        </w:trPr>
        <w:tc>
          <w:tcPr>
            <w:tcW w:w="3189" w:type="dxa"/>
          </w:tcPr>
          <w:p w14:paraId="50F9FB99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2D7507D5" w14:textId="77777777" w:rsidR="001B6A0C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>Ydelsens omfang?</w:t>
            </w:r>
          </w:p>
          <w:p w14:paraId="4FEF8BEA" w14:textId="62256E01" w:rsidR="00F34312" w:rsidRPr="009960EA" w:rsidRDefault="00F34312" w:rsidP="00F34312">
            <w:pPr>
              <w:ind w:left="72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6C31CDB7" w14:textId="77777777" w:rsidR="00F34312" w:rsidRDefault="00F34312" w:rsidP="001B6A0C">
            <w:pPr>
              <w:rPr>
                <w:rFonts w:cs="Arial"/>
                <w:szCs w:val="20"/>
              </w:rPr>
            </w:pPr>
          </w:p>
          <w:p w14:paraId="13C9FEB6" w14:textId="4752EDE4" w:rsidR="00F34312" w:rsidRDefault="001B6A0C" w:rsidP="00F34312">
            <w:pPr>
              <w:rPr>
                <w:rFonts w:cs="Arial"/>
                <w:szCs w:val="20"/>
              </w:rPr>
            </w:pPr>
            <w:r w:rsidRPr="006F49D2">
              <w:rPr>
                <w:rFonts w:cs="Arial"/>
                <w:szCs w:val="20"/>
              </w:rPr>
              <w:t>De</w:t>
            </w:r>
            <w:r w:rsidR="00F34312">
              <w:rPr>
                <w:rFonts w:cs="Arial"/>
                <w:szCs w:val="20"/>
              </w:rPr>
              <w:t xml:space="preserve">t forebyggende hjemme besøg varer </w:t>
            </w:r>
            <w:r w:rsidR="00D10E9C">
              <w:rPr>
                <w:rFonts w:cs="Arial"/>
                <w:szCs w:val="20"/>
              </w:rPr>
              <w:t>omkring 1</w:t>
            </w:r>
            <w:r w:rsidR="00F34312">
              <w:rPr>
                <w:rFonts w:cs="Arial"/>
                <w:szCs w:val="20"/>
              </w:rPr>
              <w:t xml:space="preserve"> </w:t>
            </w:r>
            <w:r w:rsidRPr="006F49D2">
              <w:rPr>
                <w:rFonts w:cs="Arial"/>
                <w:szCs w:val="20"/>
              </w:rPr>
              <w:t>time</w:t>
            </w:r>
          </w:p>
          <w:p w14:paraId="1B7200B7" w14:textId="206F57DC" w:rsidR="003045C4" w:rsidRDefault="003045C4" w:rsidP="00F343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kollektive indsatser har varierende omfang</w:t>
            </w:r>
          </w:p>
          <w:p w14:paraId="447A667C" w14:textId="3937BC6C" w:rsidR="001B6A0C" w:rsidRPr="006F49D2" w:rsidRDefault="001B6A0C" w:rsidP="003045C4">
            <w:pPr>
              <w:rPr>
                <w:rFonts w:cs="Arial"/>
                <w:szCs w:val="20"/>
              </w:rPr>
            </w:pPr>
            <w:r w:rsidRPr="006F49D2">
              <w:rPr>
                <w:rFonts w:cs="Arial"/>
                <w:szCs w:val="20"/>
              </w:rPr>
              <w:t xml:space="preserve"> </w:t>
            </w:r>
          </w:p>
        </w:tc>
      </w:tr>
      <w:tr w:rsidR="001B6A0C" w:rsidRPr="009960EA" w14:paraId="12ACAFC3" w14:textId="77777777" w:rsidTr="00F44966">
        <w:trPr>
          <w:jc w:val="right"/>
        </w:trPr>
        <w:tc>
          <w:tcPr>
            <w:tcW w:w="3189" w:type="dxa"/>
          </w:tcPr>
          <w:p w14:paraId="4C306155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322BE842" w14:textId="77777777" w:rsidR="001B6A0C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>Er der valgmulighed med hen</w:t>
            </w:r>
            <w:r w:rsidRPr="009960EA">
              <w:rPr>
                <w:rFonts w:cs="Arial"/>
                <w:szCs w:val="20"/>
              </w:rPr>
              <w:softHyphen/>
              <w:t>syn til leverandør?</w:t>
            </w:r>
          </w:p>
          <w:p w14:paraId="5A366F11" w14:textId="07972342" w:rsidR="00F34312" w:rsidRPr="009960EA" w:rsidRDefault="00F34312" w:rsidP="00F34312">
            <w:pPr>
              <w:ind w:left="72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2B8A0667" w14:textId="77777777" w:rsidR="00F34312" w:rsidRPr="00C20A78" w:rsidRDefault="00F34312" w:rsidP="001B6A0C">
            <w:pPr>
              <w:rPr>
                <w:rFonts w:cs="Arial"/>
                <w:szCs w:val="20"/>
              </w:rPr>
            </w:pPr>
          </w:p>
          <w:p w14:paraId="754FD509" w14:textId="54538D83" w:rsidR="001B6A0C" w:rsidRPr="00C20A78" w:rsidRDefault="001B6A0C" w:rsidP="001B6A0C">
            <w:pPr>
              <w:rPr>
                <w:rFonts w:cs="Arial"/>
                <w:szCs w:val="20"/>
              </w:rPr>
            </w:pPr>
            <w:r w:rsidRPr="00C20A78">
              <w:rPr>
                <w:rFonts w:cs="Arial"/>
                <w:szCs w:val="20"/>
              </w:rPr>
              <w:t xml:space="preserve">Nej, men det er frivilligt </w:t>
            </w:r>
            <w:r w:rsidR="00F34312" w:rsidRPr="00C20A78">
              <w:rPr>
                <w:rFonts w:cs="Arial"/>
                <w:szCs w:val="20"/>
              </w:rPr>
              <w:t xml:space="preserve">om man ønsker </w:t>
            </w:r>
            <w:r w:rsidRPr="00C20A78">
              <w:rPr>
                <w:rFonts w:cs="Arial"/>
                <w:szCs w:val="20"/>
              </w:rPr>
              <w:t>at modtage ydelsen.</w:t>
            </w:r>
          </w:p>
        </w:tc>
      </w:tr>
      <w:tr w:rsidR="001B6A0C" w:rsidRPr="009960EA" w14:paraId="2B559AF8" w14:textId="77777777" w:rsidTr="00BB7EFD">
        <w:tblPrEx>
          <w:jc w:val="left"/>
        </w:tblPrEx>
        <w:tc>
          <w:tcPr>
            <w:tcW w:w="3189" w:type="dxa"/>
          </w:tcPr>
          <w:p w14:paraId="3A4668B3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05DF7820" w14:textId="597A0CB5" w:rsidR="001B6A0C" w:rsidRPr="009960EA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>Hvem leverer ydelsen?</w:t>
            </w:r>
          </w:p>
        </w:tc>
        <w:tc>
          <w:tcPr>
            <w:tcW w:w="6589" w:type="dxa"/>
          </w:tcPr>
          <w:p w14:paraId="6FE68F12" w14:textId="77777777" w:rsidR="00F34312" w:rsidRPr="00C20A78" w:rsidRDefault="00F34312" w:rsidP="001B6A0C">
            <w:pPr>
              <w:rPr>
                <w:rFonts w:cs="Arial"/>
                <w:szCs w:val="20"/>
              </w:rPr>
            </w:pPr>
          </w:p>
          <w:p w14:paraId="69102483" w14:textId="55488DE6" w:rsidR="001B6A0C" w:rsidRPr="00C20A78" w:rsidRDefault="00F34312" w:rsidP="001B6A0C">
            <w:pPr>
              <w:rPr>
                <w:rFonts w:cs="Arial"/>
                <w:szCs w:val="20"/>
              </w:rPr>
            </w:pPr>
            <w:r w:rsidRPr="00C20A78">
              <w:rPr>
                <w:rFonts w:cs="Arial"/>
                <w:szCs w:val="20"/>
              </w:rPr>
              <w:t>Træning og Rehabilitering</w:t>
            </w:r>
            <w:r w:rsidR="00C20A78" w:rsidRPr="00C20A78">
              <w:rPr>
                <w:rFonts w:cs="Arial"/>
                <w:szCs w:val="20"/>
              </w:rPr>
              <w:t xml:space="preserve">, </w:t>
            </w:r>
            <w:r w:rsidR="003045C4">
              <w:rPr>
                <w:rFonts w:cs="Arial"/>
                <w:szCs w:val="20"/>
              </w:rPr>
              <w:t>A</w:t>
            </w:r>
            <w:r w:rsidR="00C20A78" w:rsidRPr="00C20A78">
              <w:rPr>
                <w:rFonts w:cs="Arial"/>
                <w:szCs w:val="20"/>
              </w:rPr>
              <w:t>fdelingen for Sundhed</w:t>
            </w:r>
            <w:r w:rsidR="001B6A0C" w:rsidRPr="00C20A78">
              <w:rPr>
                <w:rFonts w:cs="Arial"/>
                <w:szCs w:val="20"/>
              </w:rPr>
              <w:br/>
            </w:r>
          </w:p>
        </w:tc>
      </w:tr>
      <w:tr w:rsidR="001B6A0C" w:rsidRPr="009960EA" w14:paraId="627937F9" w14:textId="77777777" w:rsidTr="00BB7EFD">
        <w:tblPrEx>
          <w:jc w:val="left"/>
        </w:tblPrEx>
        <w:tc>
          <w:tcPr>
            <w:tcW w:w="3189" w:type="dxa"/>
          </w:tcPr>
          <w:p w14:paraId="48EE6EE8" w14:textId="77777777" w:rsidR="00C20A78" w:rsidRDefault="00C20A78" w:rsidP="00C20A78">
            <w:pPr>
              <w:ind w:left="720"/>
              <w:rPr>
                <w:rFonts w:cs="Arial"/>
                <w:szCs w:val="20"/>
              </w:rPr>
            </w:pPr>
          </w:p>
          <w:p w14:paraId="0E26ECB8" w14:textId="578CA04C" w:rsidR="001B6A0C" w:rsidRPr="009960EA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>Krav til udfører?</w:t>
            </w:r>
          </w:p>
        </w:tc>
        <w:tc>
          <w:tcPr>
            <w:tcW w:w="6589" w:type="dxa"/>
          </w:tcPr>
          <w:p w14:paraId="69DD33B0" w14:textId="77777777" w:rsidR="00C20A78" w:rsidRPr="00C20A78" w:rsidRDefault="00C20A78" w:rsidP="001B6A0C">
            <w:pPr>
              <w:rPr>
                <w:rFonts w:cs="Arial"/>
                <w:szCs w:val="20"/>
              </w:rPr>
            </w:pPr>
          </w:p>
          <w:p w14:paraId="590315D5" w14:textId="77777777" w:rsidR="00C20A78" w:rsidRPr="00C20A78" w:rsidRDefault="001B6A0C" w:rsidP="001B6A0C">
            <w:pPr>
              <w:rPr>
                <w:rFonts w:cs="Arial"/>
                <w:szCs w:val="20"/>
              </w:rPr>
            </w:pPr>
            <w:r w:rsidRPr="00C20A78">
              <w:rPr>
                <w:rFonts w:cs="Arial"/>
                <w:szCs w:val="20"/>
              </w:rPr>
              <w:t xml:space="preserve">Sundhedsfaglig </w:t>
            </w:r>
            <w:r w:rsidR="00C20A78" w:rsidRPr="00C20A78">
              <w:rPr>
                <w:rFonts w:cs="Arial"/>
                <w:szCs w:val="20"/>
              </w:rPr>
              <w:t>autorisation</w:t>
            </w:r>
          </w:p>
          <w:p w14:paraId="06541368" w14:textId="02FD8DF3" w:rsidR="001B6A0C" w:rsidRPr="00C20A78" w:rsidRDefault="001B6A0C" w:rsidP="00C20A78">
            <w:pPr>
              <w:rPr>
                <w:rFonts w:cs="Arial"/>
                <w:szCs w:val="20"/>
              </w:rPr>
            </w:pPr>
          </w:p>
        </w:tc>
      </w:tr>
      <w:tr w:rsidR="001B6A0C" w:rsidRPr="009960EA" w14:paraId="4BA5E996" w14:textId="77777777" w:rsidTr="00BB7EFD">
        <w:tblPrEx>
          <w:jc w:val="left"/>
        </w:tblPrEx>
        <w:tc>
          <w:tcPr>
            <w:tcW w:w="3189" w:type="dxa"/>
          </w:tcPr>
          <w:p w14:paraId="077535DD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5F653854" w14:textId="3ABDEB1F" w:rsidR="001B6A0C" w:rsidRPr="009960EA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 xml:space="preserve">Hvad koster ydelsen </w:t>
            </w:r>
          </w:p>
        </w:tc>
        <w:tc>
          <w:tcPr>
            <w:tcW w:w="6589" w:type="dxa"/>
          </w:tcPr>
          <w:p w14:paraId="3C05C37B" w14:textId="77777777" w:rsidR="003045C4" w:rsidRDefault="003045C4" w:rsidP="00C20A78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25901C7" w14:textId="5B789555" w:rsidR="00C20A78" w:rsidRPr="00C20A78" w:rsidRDefault="00C20A78" w:rsidP="00C20A78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C20A78">
              <w:rPr>
                <w:rFonts w:ascii="Arial" w:hAnsi="Arial" w:cs="Arial"/>
                <w:sz w:val="20"/>
                <w:szCs w:val="20"/>
              </w:rPr>
              <w:t>Ydelsen er gratis</w:t>
            </w:r>
          </w:p>
        </w:tc>
      </w:tr>
      <w:tr w:rsidR="001B6A0C" w:rsidRPr="009960EA" w14:paraId="5381F909" w14:textId="77777777" w:rsidTr="00BB7EFD">
        <w:tblPrEx>
          <w:jc w:val="left"/>
        </w:tblPrEx>
        <w:tc>
          <w:tcPr>
            <w:tcW w:w="3189" w:type="dxa"/>
          </w:tcPr>
          <w:p w14:paraId="30A0C29F" w14:textId="77777777" w:rsidR="00F34312" w:rsidRDefault="00F34312" w:rsidP="00F34312">
            <w:pPr>
              <w:ind w:left="720"/>
              <w:rPr>
                <w:rFonts w:cs="Arial"/>
                <w:szCs w:val="20"/>
              </w:rPr>
            </w:pPr>
          </w:p>
          <w:p w14:paraId="0F39CCBC" w14:textId="77777777" w:rsidR="001B6A0C" w:rsidRDefault="00C20A78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Hvad er kommunens k</w:t>
            </w:r>
            <w:r w:rsidR="001B6A0C" w:rsidRPr="009960EA">
              <w:rPr>
                <w:rFonts w:cs="Arial"/>
                <w:szCs w:val="20"/>
              </w:rPr>
              <w:t>va</w:t>
            </w:r>
            <w:r w:rsidR="001B6A0C" w:rsidRPr="009960EA">
              <w:rPr>
                <w:rFonts w:cs="Arial"/>
                <w:szCs w:val="20"/>
              </w:rPr>
              <w:softHyphen/>
              <w:t>li</w:t>
            </w:r>
            <w:r w:rsidR="001B6A0C" w:rsidRPr="009960EA">
              <w:rPr>
                <w:rFonts w:cs="Arial"/>
                <w:szCs w:val="20"/>
              </w:rPr>
              <w:softHyphen/>
              <w:t>tetsmål</w:t>
            </w:r>
          </w:p>
          <w:p w14:paraId="36FF0578" w14:textId="4648F84D" w:rsidR="000C488E" w:rsidRPr="009960EA" w:rsidRDefault="000C488E" w:rsidP="000C488E">
            <w:pPr>
              <w:ind w:left="72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0BCBDC84" w14:textId="77777777" w:rsidR="001B6A0C" w:rsidRDefault="001B6A0C" w:rsidP="000C488E">
            <w:pPr>
              <w:rPr>
                <w:rFonts w:cs="Arial"/>
                <w:szCs w:val="20"/>
              </w:rPr>
            </w:pPr>
          </w:p>
          <w:p w14:paraId="59D8214A" w14:textId="5872B3BF" w:rsidR="000C488E" w:rsidRPr="000C488E" w:rsidRDefault="000C488E" w:rsidP="000C488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 </w:t>
            </w:r>
            <w:r w:rsidR="003045C4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lle borgere i de relevante målgrupper </w:t>
            </w:r>
            <w:r w:rsidR="003045C4">
              <w:rPr>
                <w:rFonts w:cs="Arial"/>
                <w:szCs w:val="20"/>
              </w:rPr>
              <w:t xml:space="preserve">er tilbudt </w:t>
            </w:r>
            <w:r w:rsidR="00D10E9C">
              <w:rPr>
                <w:rFonts w:cs="Arial"/>
                <w:szCs w:val="20"/>
              </w:rPr>
              <w:t>et f</w:t>
            </w:r>
            <w:r>
              <w:rPr>
                <w:rFonts w:cs="Arial"/>
                <w:szCs w:val="20"/>
              </w:rPr>
              <w:t xml:space="preserve">orebyggende hjemmebesøg eller </w:t>
            </w:r>
            <w:r w:rsidR="003045C4">
              <w:rPr>
                <w:rFonts w:cs="Arial"/>
                <w:szCs w:val="20"/>
              </w:rPr>
              <w:t xml:space="preserve">blevet </w:t>
            </w:r>
            <w:r>
              <w:rPr>
                <w:rFonts w:cs="Arial"/>
                <w:szCs w:val="20"/>
              </w:rPr>
              <w:t>inv</w:t>
            </w:r>
            <w:r w:rsidR="00D10E9C">
              <w:rPr>
                <w:rFonts w:cs="Arial"/>
                <w:szCs w:val="20"/>
              </w:rPr>
              <w:t xml:space="preserve">iteret til </w:t>
            </w:r>
            <w:r>
              <w:rPr>
                <w:rFonts w:cs="Arial"/>
                <w:szCs w:val="20"/>
              </w:rPr>
              <w:t>fællesarrangemen</w:t>
            </w:r>
            <w:r w:rsidR="00F15E64">
              <w:rPr>
                <w:rFonts w:cs="Arial"/>
                <w:szCs w:val="20"/>
              </w:rPr>
              <w:t>t</w:t>
            </w:r>
          </w:p>
        </w:tc>
      </w:tr>
      <w:tr w:rsidR="001B6A0C" w:rsidRPr="009960EA" w14:paraId="06EDB6D6" w14:textId="77777777" w:rsidTr="00BB7EFD">
        <w:tblPrEx>
          <w:jc w:val="left"/>
        </w:tblPrEx>
        <w:tc>
          <w:tcPr>
            <w:tcW w:w="3189" w:type="dxa"/>
          </w:tcPr>
          <w:p w14:paraId="14E9C293" w14:textId="77777777" w:rsidR="00C20A78" w:rsidRDefault="00C20A78" w:rsidP="00C20A78">
            <w:pPr>
              <w:ind w:left="720"/>
              <w:rPr>
                <w:rFonts w:cs="Arial"/>
                <w:szCs w:val="20"/>
              </w:rPr>
            </w:pPr>
          </w:p>
          <w:p w14:paraId="5C7909EB" w14:textId="77777777" w:rsidR="001B6A0C" w:rsidRDefault="001B6A0C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9960EA">
              <w:rPr>
                <w:rFonts w:cs="Arial"/>
                <w:szCs w:val="20"/>
              </w:rPr>
              <w:t>Hvordan følges op på ydel</w:t>
            </w:r>
            <w:r w:rsidRPr="009960EA">
              <w:rPr>
                <w:rFonts w:cs="Arial"/>
                <w:szCs w:val="20"/>
              </w:rPr>
              <w:softHyphen/>
              <w:t>sen?</w:t>
            </w:r>
          </w:p>
          <w:p w14:paraId="3C3BB05A" w14:textId="30F728EC" w:rsidR="00C20A78" w:rsidRPr="009960EA" w:rsidRDefault="00C20A78" w:rsidP="00C20A78">
            <w:pPr>
              <w:ind w:left="72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6CB20056" w14:textId="77777777" w:rsidR="00C20A78" w:rsidRPr="00C20A78" w:rsidRDefault="00C20A78" w:rsidP="001B6A0C">
            <w:pPr>
              <w:rPr>
                <w:rFonts w:cs="Arial"/>
                <w:szCs w:val="20"/>
              </w:rPr>
            </w:pPr>
          </w:p>
          <w:p w14:paraId="08EB33C8" w14:textId="6918DE53" w:rsidR="00C20A78" w:rsidRPr="00C20A78" w:rsidRDefault="003045C4" w:rsidP="001B6A0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Dokumentation</w:t>
            </w:r>
            <w:r w:rsidR="00C20A78" w:rsidRPr="00C20A78">
              <w:rPr>
                <w:rFonts w:cs="Arial"/>
                <w:szCs w:val="20"/>
              </w:rPr>
              <w:t xml:space="preserve"> i henhold til lovgivning</w:t>
            </w:r>
            <w:r w:rsidR="00D10E9C">
              <w:rPr>
                <w:rFonts w:cs="Arial"/>
                <w:szCs w:val="20"/>
              </w:rPr>
              <w:t>en</w:t>
            </w:r>
            <w:r w:rsidR="00C20A78" w:rsidRPr="00C20A78">
              <w:rPr>
                <w:rFonts w:cs="Arial"/>
                <w:szCs w:val="20"/>
              </w:rPr>
              <w:t xml:space="preserve"> om journalføring</w:t>
            </w:r>
            <w:r w:rsidR="001B6A0C" w:rsidRPr="00C20A78">
              <w:rPr>
                <w:rFonts w:cs="Arial"/>
                <w:szCs w:val="20"/>
              </w:rPr>
              <w:t>.</w:t>
            </w:r>
          </w:p>
          <w:p w14:paraId="0CF7C682" w14:textId="2D99B0E6" w:rsidR="001B6A0C" w:rsidRPr="00C20A78" w:rsidRDefault="003045C4" w:rsidP="001B6A0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Løbende </w:t>
            </w:r>
            <w:r w:rsidR="00D10E9C">
              <w:rPr>
                <w:rFonts w:cs="Arial"/>
                <w:szCs w:val="20"/>
              </w:rPr>
              <w:t>monitorer</w:t>
            </w:r>
            <w:r>
              <w:rPr>
                <w:rFonts w:cs="Arial"/>
                <w:szCs w:val="20"/>
              </w:rPr>
              <w:t>ing i forhold til</w:t>
            </w:r>
            <w:r w:rsidR="00D10E9C">
              <w:rPr>
                <w:rFonts w:cs="Arial"/>
                <w:szCs w:val="20"/>
              </w:rPr>
              <w:t xml:space="preserve"> a</w:t>
            </w:r>
            <w:r w:rsidR="00C20A78" w:rsidRPr="00C20A78">
              <w:rPr>
                <w:rFonts w:cs="Arial"/>
                <w:szCs w:val="20"/>
              </w:rPr>
              <w:t>ntallet af tilbudte og gennemførte besøg</w:t>
            </w:r>
            <w:r>
              <w:rPr>
                <w:rFonts w:cs="Arial"/>
                <w:szCs w:val="20"/>
              </w:rPr>
              <w:t xml:space="preserve"> og kollektive indsatser</w:t>
            </w:r>
            <w:r w:rsidR="00C20A78" w:rsidRPr="00C20A78">
              <w:rPr>
                <w:rFonts w:cs="Arial"/>
                <w:szCs w:val="20"/>
              </w:rPr>
              <w:t xml:space="preserve"> </w:t>
            </w:r>
          </w:p>
          <w:p w14:paraId="58E93D9E" w14:textId="7087E4D8" w:rsidR="00C20A78" w:rsidRPr="00C20A78" w:rsidRDefault="00C20A78" w:rsidP="003045C4">
            <w:pPr>
              <w:rPr>
                <w:rFonts w:cs="Arial"/>
                <w:szCs w:val="20"/>
              </w:rPr>
            </w:pPr>
          </w:p>
        </w:tc>
      </w:tr>
      <w:tr w:rsidR="001B6A0C" w:rsidRPr="009960EA" w14:paraId="488E6099" w14:textId="77777777" w:rsidTr="00BB7EFD">
        <w:tblPrEx>
          <w:jc w:val="left"/>
        </w:tblPrEx>
        <w:tc>
          <w:tcPr>
            <w:tcW w:w="3189" w:type="dxa"/>
          </w:tcPr>
          <w:p w14:paraId="507BDA1C" w14:textId="77777777" w:rsidR="00C20A78" w:rsidRDefault="00C20A78" w:rsidP="00C20A78">
            <w:pPr>
              <w:ind w:left="720"/>
              <w:rPr>
                <w:rFonts w:cs="Arial"/>
                <w:szCs w:val="20"/>
              </w:rPr>
            </w:pPr>
          </w:p>
          <w:p w14:paraId="7BEA3849" w14:textId="77777777" w:rsidR="001B6A0C" w:rsidRDefault="00C20A78" w:rsidP="001B6A0C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Klagevejledning</w:t>
            </w:r>
          </w:p>
          <w:p w14:paraId="61B02104" w14:textId="43F69D49" w:rsidR="00C20A78" w:rsidRPr="00BF3D37" w:rsidRDefault="00C20A78" w:rsidP="00C20A78">
            <w:pPr>
              <w:ind w:left="720"/>
              <w:rPr>
                <w:rFonts w:cs="Arial"/>
                <w:szCs w:val="20"/>
              </w:rPr>
            </w:pPr>
          </w:p>
        </w:tc>
        <w:tc>
          <w:tcPr>
            <w:tcW w:w="6589" w:type="dxa"/>
          </w:tcPr>
          <w:p w14:paraId="7F230E17" w14:textId="77777777" w:rsidR="00C20A78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</w:p>
          <w:p w14:paraId="13AA3410" w14:textId="77777777" w:rsidR="00C20A78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  <w:r w:rsidRPr="00C20A78">
              <w:rPr>
                <w:rFonts w:cs="Arial"/>
                <w:szCs w:val="20"/>
              </w:rPr>
              <w:t>Tilbud om forebyggende hjemmebesøg er ikke en afgørelse og der findes derfor ikke administrative klagemuligheder.</w:t>
            </w:r>
          </w:p>
          <w:p w14:paraId="14D4B497" w14:textId="77777777" w:rsidR="00C20A78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</w:p>
          <w:p w14:paraId="4DDFEDAF" w14:textId="66D449BD" w:rsidR="00C20A78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  <w:r w:rsidRPr="00C20A78">
              <w:rPr>
                <w:rFonts w:cs="Arial"/>
                <w:szCs w:val="20"/>
              </w:rPr>
              <w:t>Klager over personale, det faglige niveau</w:t>
            </w:r>
            <w:r w:rsidR="003045C4">
              <w:rPr>
                <w:rFonts w:cs="Arial"/>
                <w:szCs w:val="20"/>
              </w:rPr>
              <w:t xml:space="preserve"> eller</w:t>
            </w:r>
            <w:r w:rsidRPr="00C20A78">
              <w:rPr>
                <w:rFonts w:cs="Arial"/>
                <w:szCs w:val="20"/>
              </w:rPr>
              <w:t xml:space="preserve"> måden opgaven er løst på, </w:t>
            </w:r>
            <w:r w:rsidR="00D10E9C">
              <w:rPr>
                <w:rFonts w:cs="Arial"/>
                <w:szCs w:val="20"/>
              </w:rPr>
              <w:t>skal</w:t>
            </w:r>
            <w:r w:rsidRPr="00C20A78">
              <w:rPr>
                <w:rFonts w:cs="Arial"/>
                <w:szCs w:val="20"/>
              </w:rPr>
              <w:t xml:space="preserve"> sendes til</w:t>
            </w:r>
          </w:p>
          <w:p w14:paraId="0CF0C6F2" w14:textId="77777777" w:rsidR="00C20A78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</w:p>
          <w:p w14:paraId="05A60000" w14:textId="77777777" w:rsidR="001B6A0C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  <w:r w:rsidRPr="00C20A78">
              <w:rPr>
                <w:rFonts w:cs="Arial"/>
                <w:szCs w:val="20"/>
              </w:rPr>
              <w:t>Træning og Rehabilitering, Sankelmarksvej 10 A, 4760 Vordingborg</w:t>
            </w:r>
            <w:r w:rsidR="001B6A0C" w:rsidRPr="00C20A78">
              <w:rPr>
                <w:rFonts w:cs="Arial"/>
                <w:szCs w:val="20"/>
              </w:rPr>
              <w:t xml:space="preserve"> </w:t>
            </w:r>
          </w:p>
          <w:p w14:paraId="3CEF6F52" w14:textId="30C61FDE" w:rsidR="00C20A78" w:rsidRPr="00C20A78" w:rsidRDefault="00C20A78" w:rsidP="001B6A0C">
            <w:pPr>
              <w:tabs>
                <w:tab w:val="num" w:pos="335"/>
              </w:tabs>
              <w:rPr>
                <w:rFonts w:cs="Arial"/>
                <w:szCs w:val="20"/>
              </w:rPr>
            </w:pPr>
          </w:p>
        </w:tc>
      </w:tr>
    </w:tbl>
    <w:p w14:paraId="191CB62F" w14:textId="77777777" w:rsidR="002536D1" w:rsidRDefault="002536D1" w:rsidP="00900D8F"/>
    <w:p w14:paraId="7D85F26D" w14:textId="77777777" w:rsidR="002536D1" w:rsidRPr="002536D1" w:rsidRDefault="002536D1" w:rsidP="002536D1"/>
    <w:p w14:paraId="2ED1C3C9" w14:textId="77777777" w:rsidR="008677D0" w:rsidRPr="002536D1" w:rsidRDefault="008677D0" w:rsidP="002536D1"/>
    <w:sectPr w:rsidR="008677D0" w:rsidRPr="002536D1" w:rsidSect="00077C48">
      <w:headerReference w:type="default" r:id="rId11"/>
      <w:footerReference w:type="default" r:id="rId12"/>
      <w:pgSz w:w="11906" w:h="16838"/>
      <w:pgMar w:top="2109" w:right="1134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23AC" w14:textId="77777777" w:rsidR="00107F86" w:rsidRDefault="00107F86">
      <w:r>
        <w:separator/>
      </w:r>
    </w:p>
  </w:endnote>
  <w:endnote w:type="continuationSeparator" w:id="0">
    <w:p w14:paraId="16BA0221" w14:textId="77777777" w:rsidR="00107F86" w:rsidRDefault="0010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EEFA" w14:textId="28A3E1A3" w:rsidR="001406D1" w:rsidRPr="00251C25" w:rsidRDefault="003045C4" w:rsidP="00251C25">
    <w:pPr>
      <w:pStyle w:val="Sidefod"/>
    </w:pPr>
    <w:r>
      <w:rPr>
        <w:szCs w:val="20"/>
      </w:rPr>
      <w:t>Træning og Rehabilitering, september 2023</w:t>
    </w:r>
    <w:r w:rsidR="0048321B">
      <w:rPr>
        <w:szCs w:val="20"/>
      </w:rPr>
      <w:t>, Godkendt i KB 20/12-23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8A8F" w14:textId="77777777" w:rsidR="00107F86" w:rsidRDefault="00107F86">
      <w:r>
        <w:separator/>
      </w:r>
    </w:p>
  </w:footnote>
  <w:footnote w:type="continuationSeparator" w:id="0">
    <w:p w14:paraId="78475512" w14:textId="77777777" w:rsidR="00107F86" w:rsidRDefault="0010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B69" w14:textId="77777777" w:rsidR="00A5332B" w:rsidRDefault="00DB22C2" w:rsidP="006B66FF">
    <w:pPr>
      <w:pStyle w:val="Sidehoved"/>
      <w:tabs>
        <w:tab w:val="left" w:pos="774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4C0668A" wp14:editId="742AADA5">
          <wp:simplePos x="0" y="0"/>
          <wp:positionH relativeFrom="column">
            <wp:posOffset>3200400</wp:posOffset>
          </wp:positionH>
          <wp:positionV relativeFrom="paragraph">
            <wp:posOffset>-27305</wp:posOffset>
          </wp:positionV>
          <wp:extent cx="2508250" cy="742950"/>
          <wp:effectExtent l="0" t="0" r="6350" b="0"/>
          <wp:wrapNone/>
          <wp:docPr id="1" name="Billede 1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AE7"/>
    <w:multiLevelType w:val="hybridMultilevel"/>
    <w:tmpl w:val="442832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436"/>
    <w:multiLevelType w:val="hybridMultilevel"/>
    <w:tmpl w:val="748A4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8C9"/>
    <w:multiLevelType w:val="hybridMultilevel"/>
    <w:tmpl w:val="6F6634C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0C0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33C16"/>
    <w:multiLevelType w:val="hybridMultilevel"/>
    <w:tmpl w:val="3E06C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14AB"/>
    <w:multiLevelType w:val="hybridMultilevel"/>
    <w:tmpl w:val="1D0EF0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D102F"/>
    <w:multiLevelType w:val="hybridMultilevel"/>
    <w:tmpl w:val="FBBE480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497959">
    <w:abstractNumId w:val="2"/>
  </w:num>
  <w:num w:numId="2" w16cid:durableId="74255416">
    <w:abstractNumId w:val="5"/>
  </w:num>
  <w:num w:numId="3" w16cid:durableId="1508324161">
    <w:abstractNumId w:val="0"/>
  </w:num>
  <w:num w:numId="4" w16cid:durableId="48040208">
    <w:abstractNumId w:val="3"/>
  </w:num>
  <w:num w:numId="5" w16cid:durableId="1916429392">
    <w:abstractNumId w:val="1"/>
  </w:num>
  <w:num w:numId="6" w16cid:durableId="1406611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C2EA77B-4ADD-4907-87BF-A9D20F6986ED}"/>
  </w:docVars>
  <w:rsids>
    <w:rsidRoot w:val="00A5332B"/>
    <w:rsid w:val="00007C1E"/>
    <w:rsid w:val="00015023"/>
    <w:rsid w:val="000151B3"/>
    <w:rsid w:val="00026BAA"/>
    <w:rsid w:val="00034603"/>
    <w:rsid w:val="00077C48"/>
    <w:rsid w:val="00092FFF"/>
    <w:rsid w:val="000C2F4E"/>
    <w:rsid w:val="000C488E"/>
    <w:rsid w:val="000D0C84"/>
    <w:rsid w:val="000D1E8D"/>
    <w:rsid w:val="00107F86"/>
    <w:rsid w:val="001157CC"/>
    <w:rsid w:val="0011749F"/>
    <w:rsid w:val="00131C54"/>
    <w:rsid w:val="001406D1"/>
    <w:rsid w:val="001A2F90"/>
    <w:rsid w:val="001B6A0C"/>
    <w:rsid w:val="001D2A22"/>
    <w:rsid w:val="001D6A43"/>
    <w:rsid w:val="00203B57"/>
    <w:rsid w:val="00251C25"/>
    <w:rsid w:val="002536D1"/>
    <w:rsid w:val="00264690"/>
    <w:rsid w:val="002A22E1"/>
    <w:rsid w:val="003045C4"/>
    <w:rsid w:val="00311E53"/>
    <w:rsid w:val="0033119E"/>
    <w:rsid w:val="0036526F"/>
    <w:rsid w:val="003759F7"/>
    <w:rsid w:val="003A2D56"/>
    <w:rsid w:val="003E7F23"/>
    <w:rsid w:val="00425603"/>
    <w:rsid w:val="00445567"/>
    <w:rsid w:val="00457939"/>
    <w:rsid w:val="0048321B"/>
    <w:rsid w:val="00487087"/>
    <w:rsid w:val="004938BC"/>
    <w:rsid w:val="004D797E"/>
    <w:rsid w:val="004E0166"/>
    <w:rsid w:val="00552EFB"/>
    <w:rsid w:val="00577FF6"/>
    <w:rsid w:val="005F433B"/>
    <w:rsid w:val="00603B0A"/>
    <w:rsid w:val="006268F5"/>
    <w:rsid w:val="00667D35"/>
    <w:rsid w:val="006B66FF"/>
    <w:rsid w:val="006C7735"/>
    <w:rsid w:val="007501F3"/>
    <w:rsid w:val="007C53AC"/>
    <w:rsid w:val="007D53F9"/>
    <w:rsid w:val="007F263C"/>
    <w:rsid w:val="008677D0"/>
    <w:rsid w:val="00882691"/>
    <w:rsid w:val="00883F6D"/>
    <w:rsid w:val="008A36C7"/>
    <w:rsid w:val="008B2078"/>
    <w:rsid w:val="008C2666"/>
    <w:rsid w:val="008F2348"/>
    <w:rsid w:val="00900D8F"/>
    <w:rsid w:val="00907E4E"/>
    <w:rsid w:val="00936B3A"/>
    <w:rsid w:val="00965560"/>
    <w:rsid w:val="00967524"/>
    <w:rsid w:val="009675B7"/>
    <w:rsid w:val="00981224"/>
    <w:rsid w:val="0098247B"/>
    <w:rsid w:val="009B575B"/>
    <w:rsid w:val="009F206A"/>
    <w:rsid w:val="00A25A5A"/>
    <w:rsid w:val="00A310AF"/>
    <w:rsid w:val="00A342D8"/>
    <w:rsid w:val="00A35B39"/>
    <w:rsid w:val="00A5332B"/>
    <w:rsid w:val="00A60E4E"/>
    <w:rsid w:val="00A85FE6"/>
    <w:rsid w:val="00A92FF5"/>
    <w:rsid w:val="00AA3AAE"/>
    <w:rsid w:val="00AC7797"/>
    <w:rsid w:val="00AC77F0"/>
    <w:rsid w:val="00AE2DA7"/>
    <w:rsid w:val="00AF2B6F"/>
    <w:rsid w:val="00B13539"/>
    <w:rsid w:val="00B220EF"/>
    <w:rsid w:val="00B571C9"/>
    <w:rsid w:val="00B70EAD"/>
    <w:rsid w:val="00B76CE8"/>
    <w:rsid w:val="00BB7EFD"/>
    <w:rsid w:val="00BF31CE"/>
    <w:rsid w:val="00BF3D37"/>
    <w:rsid w:val="00C20A78"/>
    <w:rsid w:val="00C67128"/>
    <w:rsid w:val="00C849ED"/>
    <w:rsid w:val="00CA29D2"/>
    <w:rsid w:val="00CB71C8"/>
    <w:rsid w:val="00CC50CE"/>
    <w:rsid w:val="00CD386E"/>
    <w:rsid w:val="00CE344F"/>
    <w:rsid w:val="00D10E9C"/>
    <w:rsid w:val="00D85E61"/>
    <w:rsid w:val="00DB22C2"/>
    <w:rsid w:val="00E42631"/>
    <w:rsid w:val="00E56B1C"/>
    <w:rsid w:val="00E63129"/>
    <w:rsid w:val="00E858AE"/>
    <w:rsid w:val="00E90C24"/>
    <w:rsid w:val="00F001F4"/>
    <w:rsid w:val="00F034B2"/>
    <w:rsid w:val="00F15E64"/>
    <w:rsid w:val="00F20016"/>
    <w:rsid w:val="00F34312"/>
    <w:rsid w:val="00F44966"/>
    <w:rsid w:val="00F460E3"/>
    <w:rsid w:val="00F829C5"/>
    <w:rsid w:val="00F97592"/>
    <w:rsid w:val="00F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CAED7FA"/>
  <w15:docId w15:val="{65683D4E-7DB6-42D8-8B3A-FDF27B94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E4E"/>
    <w:rPr>
      <w:rFonts w:ascii="Arial" w:hAnsi="Arial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CA29D2"/>
    <w:rPr>
      <w:color w:val="0000FF"/>
      <w:u w:val="single"/>
    </w:rPr>
  </w:style>
  <w:style w:type="paragraph" w:styleId="Sidehoved">
    <w:name w:val="header"/>
    <w:basedOn w:val="Normal"/>
    <w:rsid w:val="00CA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64690"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rsid w:val="00BB7EF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eafsnit">
    <w:name w:val="List Paragraph"/>
    <w:basedOn w:val="Normal"/>
    <w:uiPriority w:val="34"/>
    <w:qFormat/>
    <w:rsid w:val="00311E53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1406D1"/>
    <w:rPr>
      <w:rFonts w:ascii="Arial" w:hAnsi="Arial"/>
      <w:szCs w:val="24"/>
    </w:rPr>
  </w:style>
  <w:style w:type="character" w:styleId="Strk">
    <w:name w:val="Strong"/>
    <w:basedOn w:val="Standardskrifttypeiafsnit"/>
    <w:uiPriority w:val="22"/>
    <w:qFormat/>
    <w:rsid w:val="00577FF6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1E2E7-D89B-438D-BE33-4F8117E1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269B27-1ED5-463A-B8AF-DA4A61B4CAB1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b6fd793d-063b-417c-8ca4-5fa3d95239c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D06659-B759-42E5-87D5-CE4D76A59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D39D0-9E2D-4680-9576-4DA8BB0C4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2509</Characters>
  <Application>Microsoft Office Word</Application>
  <DocSecurity>4</DocSecurity>
  <Lines>139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Kvalitetstandard for 2012 -  forebyggende hjemmebesøg.doc</vt:lpstr>
    </vt:vector>
  </TitlesOfParts>
  <Company>Vordingborg Kommune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Kvalitetstandard for 2012 -  forebyggende hjemmebesøg.doc</dc:title>
  <dc:creator>sujo</dc:creator>
  <cp:lastModifiedBy>Vivian Griffenfeldt Andersen</cp:lastModifiedBy>
  <cp:revision>2</cp:revision>
  <cp:lastPrinted>2010-12-13T15:08:00Z</cp:lastPrinted>
  <dcterms:created xsi:type="dcterms:W3CDTF">2024-01-02T11:36:00Z</dcterms:created>
  <dcterms:modified xsi:type="dcterms:W3CDTF">2024-01-02T11:36:00Z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